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R4-2108758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remaining issues in Timing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6.1.5.9</w:t>
      </w:r>
      <w:bookmarkStart w:id="4" w:name="_GoBack"/>
      <w:bookmarkEnd w:id="4"/>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eastAsia"/>
          <w:b w:val="0"/>
          <w:bCs/>
          <w:sz w:val="22"/>
          <w:szCs w:val="22"/>
          <w:lang w:val="en-US" w:eastAsia="zh-CN"/>
        </w:rPr>
      </w:pPr>
      <w:r>
        <w:rPr>
          <w:rFonts w:hint="eastAsia"/>
          <w:b w:val="0"/>
          <w:bCs/>
          <w:sz w:val="22"/>
          <w:szCs w:val="22"/>
          <w:lang w:val="en-US" w:eastAsia="zh-CN"/>
        </w:rPr>
        <w:t>The topic on timing was discussed during the RAN4 98-bis-e meeting without a conclusion. The current status is summarized in the WF [1] as shown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jc w:val="center"/>
            </w:pPr>
            <w:r>
              <w:drawing>
                <wp:inline distT="0" distB="0" distL="114300" distR="114300">
                  <wp:extent cx="4864735" cy="2734945"/>
                  <wp:effectExtent l="0" t="0" r="1206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864735" cy="2734945"/>
                          </a:xfrm>
                          <a:prstGeom prst="rect">
                            <a:avLst/>
                          </a:prstGeom>
                          <a:noFill/>
                          <a:ln>
                            <a:noFill/>
                          </a:ln>
                        </pic:spPr>
                      </pic:pic>
                    </a:graphicData>
                  </a:graphic>
                </wp:inline>
              </w:drawing>
            </w:r>
          </w:p>
          <w:p>
            <w:pPr>
              <w:jc w:val="center"/>
            </w:pPr>
            <w:r>
              <w:drawing>
                <wp:inline distT="0" distB="0" distL="114300" distR="114300">
                  <wp:extent cx="4965700" cy="2791460"/>
                  <wp:effectExtent l="0" t="0" r="635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965700" cy="2791460"/>
                          </a:xfrm>
                          <a:prstGeom prst="rect">
                            <a:avLst/>
                          </a:prstGeom>
                          <a:noFill/>
                          <a:ln>
                            <a:noFill/>
                          </a:ln>
                        </pic:spPr>
                      </pic:pic>
                    </a:graphicData>
                  </a:graphic>
                </wp:inline>
              </w:drawing>
            </w:r>
          </w:p>
          <w:p>
            <w:pPr>
              <w:jc w:val="center"/>
              <w:rPr>
                <w:rFonts w:hint="default"/>
                <w:lang w:val="en-US" w:eastAsia="zh-CN"/>
              </w:rPr>
            </w:pPr>
            <w:r>
              <w:drawing>
                <wp:inline distT="0" distB="0" distL="114300" distR="114300">
                  <wp:extent cx="4692650" cy="1066800"/>
                  <wp:effectExtent l="0" t="0" r="1270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rcRect b="59567"/>
                          <a:stretch>
                            <a:fillRect/>
                          </a:stretch>
                        </pic:blipFill>
                        <pic:spPr>
                          <a:xfrm>
                            <a:off x="0" y="0"/>
                            <a:ext cx="4692650" cy="1066800"/>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default" w:eastAsia="宋体"/>
          <w:sz w:val="22"/>
          <w:szCs w:val="22"/>
          <w:lang w:val="en-US" w:eastAsia="zh-CN"/>
        </w:rPr>
      </w:pPr>
      <w:r>
        <w:rPr>
          <w:rFonts w:hint="eastAsia" w:eastAsia="宋体"/>
          <w:sz w:val="22"/>
          <w:szCs w:val="22"/>
          <w:lang w:val="en-US" w:eastAsia="zh-CN"/>
        </w:rPr>
        <w:t>Reflected from the current status and the previous discussions, companies had different views on how to interpret the requirements. From one perspective, the requirements simply don</w:t>
      </w:r>
      <w:r>
        <w:rPr>
          <w:rFonts w:hint="default" w:eastAsia="宋体"/>
          <w:sz w:val="22"/>
          <w:szCs w:val="22"/>
          <w:lang w:val="en-US" w:eastAsia="zh-CN"/>
        </w:rPr>
        <w:t>’</w:t>
      </w:r>
      <w:r>
        <w:rPr>
          <w:rFonts w:hint="eastAsia" w:eastAsia="宋体"/>
          <w:sz w:val="22"/>
          <w:szCs w:val="22"/>
          <w:lang w:val="en-US" w:eastAsia="zh-CN"/>
        </w:rPr>
        <w:t>t apply if the condition of available SSB is not met. On the other hand, there were concerns raised that the UE shall not be forced to wake up during DRX Off period.</w:t>
      </w:r>
    </w:p>
    <w:p>
      <w:pPr>
        <w:rPr>
          <w:rFonts w:hint="default" w:eastAsia="宋体"/>
          <w:sz w:val="22"/>
          <w:szCs w:val="22"/>
          <w:lang w:val="en-US" w:eastAsia="zh-CN"/>
        </w:rPr>
      </w:pPr>
      <w:r>
        <w:rPr>
          <w:rFonts w:hint="eastAsia" w:eastAsia="宋体"/>
          <w:sz w:val="22"/>
          <w:szCs w:val="22"/>
          <w:lang w:val="en-US" w:eastAsia="zh-CN"/>
        </w:rPr>
        <w:t>In section 7.1.1 of TS 38.133, the following clarification is added.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default" w:eastAsia="宋体"/>
                <w:sz w:val="22"/>
                <w:szCs w:val="22"/>
                <w:vertAlign w:val="baseline"/>
                <w:lang w:val="en-US" w:eastAsia="zh-CN"/>
              </w:rPr>
            </w:pPr>
            <w:r>
              <w:rPr>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160 ms; otherwise the reference cell on the carrier frequency subject to CCA is considered as available at the UE.</w:t>
            </w:r>
          </w:p>
        </w:tc>
      </w:tr>
    </w:tbl>
    <w:p>
      <w:pPr>
        <w:rPr>
          <w:rFonts w:hint="default" w:eastAsia="宋体"/>
          <w:sz w:val="22"/>
          <w:szCs w:val="22"/>
          <w:lang w:val="en-US" w:eastAsia="zh-CN"/>
        </w:rPr>
      </w:pPr>
      <w:r>
        <w:rPr>
          <w:rFonts w:hint="eastAsia" w:eastAsia="宋体"/>
          <w:sz w:val="22"/>
          <w:szCs w:val="22"/>
          <w:lang w:val="en-US" w:eastAsia="zh-CN"/>
        </w:rPr>
        <w:t>And in the following sections, such as section 7.1.2, for NR-U and legacy case, DRX is already taken into account. Thus, there is no need to add any clarification to section 7.1.1 with respect to DRX.</w:t>
      </w:r>
    </w:p>
    <w:p>
      <w:pPr>
        <w:pStyle w:val="35"/>
        <w:rPr>
          <w:rFonts w:hint="default"/>
          <w:b w:val="0"/>
          <w:bCs/>
          <w:sz w:val="22"/>
          <w:szCs w:val="22"/>
          <w:lang w:val="en-US" w:eastAsia="zh-CN"/>
        </w:rPr>
      </w:pPr>
      <w:r>
        <w:rPr>
          <w:rFonts w:hint="eastAsia"/>
          <w:b/>
          <w:bCs w:val="0"/>
          <w:sz w:val="22"/>
          <w:szCs w:val="22"/>
          <w:lang w:val="en-US" w:eastAsia="zh-CN"/>
        </w:rPr>
        <w:t xml:space="preserve">SSB does not have to be within ON duration in a reference cell subject to DL CCA in order to meet UE timing requirements. No clarification related to DRX is needed on the current definition of unavailability of a reference cell on a carrier frequency subject to CCA in section 7.1.1. </w:t>
      </w:r>
    </w:p>
    <w:p>
      <w:pPr>
        <w:rPr>
          <w:rFonts w:hint="eastAsia"/>
          <w:b w:val="0"/>
          <w:bCs/>
          <w:sz w:val="22"/>
          <w:szCs w:val="22"/>
          <w:lang w:val="en-US" w:eastAsia="zh-CN"/>
        </w:rPr>
      </w:pPr>
      <w:r>
        <w:rPr>
          <w:rFonts w:hint="eastAsia"/>
          <w:b w:val="0"/>
          <w:bCs/>
          <w:sz w:val="22"/>
          <w:szCs w:val="22"/>
          <w:lang w:val="en-US" w:eastAsia="zh-CN"/>
        </w:rPr>
        <w:t>Our understanding of the above proposal is that if the SSB is not available, then the requirements don</w:t>
      </w:r>
      <w:r>
        <w:rPr>
          <w:rFonts w:hint="default"/>
          <w:b w:val="0"/>
          <w:bCs/>
          <w:sz w:val="22"/>
          <w:szCs w:val="22"/>
          <w:lang w:val="en-US" w:eastAsia="zh-CN"/>
        </w:rPr>
        <w:t>’</w:t>
      </w:r>
      <w:r>
        <w:rPr>
          <w:rFonts w:hint="eastAsia"/>
          <w:b w:val="0"/>
          <w:bCs/>
          <w:sz w:val="22"/>
          <w:szCs w:val="22"/>
          <w:lang w:val="en-US" w:eastAsia="zh-CN"/>
        </w:rPr>
        <w:t>t apply. This is also in alignment with the agreement captured in the WF for test cases.</w:t>
      </w:r>
    </w:p>
    <w:p>
      <w:pPr>
        <w:rPr>
          <w:rFonts w:hint="default"/>
          <w:b w:val="0"/>
          <w:bCs/>
          <w:sz w:val="22"/>
          <w:szCs w:val="22"/>
          <w:lang w:val="en-US" w:eastAsia="zh-CN"/>
        </w:rPr>
      </w:pPr>
      <w:r>
        <w:rPr>
          <w:rFonts w:hint="eastAsia"/>
          <w:b w:val="0"/>
          <w:bCs/>
          <w:sz w:val="22"/>
          <w:szCs w:val="22"/>
          <w:lang w:val="en-US" w:eastAsia="zh-CN"/>
        </w:rPr>
        <w:t>For the case with measurement gaps, we think that first of all, the principle shall be to align with legacy case when CCA succeeds. Thus, we think that no clarification shall be added to section 7.1.1 in TS 38.133.</w:t>
      </w:r>
    </w:p>
    <w:p>
      <w:pPr>
        <w:pStyle w:val="35"/>
        <w:rPr>
          <w:rFonts w:hint="default"/>
          <w:b w:val="0"/>
          <w:bCs/>
          <w:sz w:val="22"/>
          <w:szCs w:val="22"/>
          <w:lang w:val="en-US" w:eastAsia="zh-CN"/>
        </w:rPr>
      </w:pPr>
      <w:r>
        <w:rPr>
          <w:rFonts w:hint="eastAsia"/>
          <w:b/>
          <w:bCs w:val="0"/>
          <w:sz w:val="22"/>
          <w:szCs w:val="22"/>
          <w:lang w:val="en-US" w:eastAsia="zh-CN"/>
        </w:rPr>
        <w:t>No clarification related to gap is needed on the current definition of unavailability of a reference cell on a carrier frequency subject to CCA in section 7.1.1.</w:t>
      </w:r>
    </w:p>
    <w:p>
      <w:pPr>
        <w:rPr>
          <w:rFonts w:hint="eastAsia"/>
          <w:b w:val="0"/>
          <w:bCs/>
          <w:sz w:val="22"/>
          <w:szCs w:val="22"/>
          <w:lang w:val="en-US" w:eastAsia="zh-CN"/>
        </w:rPr>
      </w:pPr>
      <w:r>
        <w:rPr>
          <w:rFonts w:hint="eastAsia"/>
          <w:b w:val="0"/>
          <w:bCs/>
          <w:sz w:val="22"/>
          <w:szCs w:val="22"/>
          <w:lang w:val="en-US" w:eastAsia="zh-CN"/>
        </w:rPr>
        <w:t>As to whether or not a clarification / note is needed to be captured in the WF, we</w:t>
      </w:r>
      <w:r>
        <w:rPr>
          <w:rFonts w:hint="default"/>
          <w:b w:val="0"/>
          <w:bCs/>
          <w:sz w:val="22"/>
          <w:szCs w:val="22"/>
          <w:lang w:val="en-US" w:eastAsia="zh-CN"/>
        </w:rPr>
        <w:t>’</w:t>
      </w:r>
      <w:r>
        <w:rPr>
          <w:rFonts w:hint="eastAsia"/>
          <w:b w:val="0"/>
          <w:bCs/>
          <w:sz w:val="22"/>
          <w:szCs w:val="22"/>
          <w:lang w:val="en-US" w:eastAsia="zh-CN"/>
        </w:rPr>
        <w:t>re open to this. However, capturing something in the specifications doesn</w:t>
      </w:r>
      <w:r>
        <w:rPr>
          <w:rFonts w:hint="default"/>
          <w:b w:val="0"/>
          <w:bCs/>
          <w:sz w:val="22"/>
          <w:szCs w:val="22"/>
          <w:lang w:val="en-US" w:eastAsia="zh-CN"/>
        </w:rPr>
        <w:t>’</w:t>
      </w:r>
      <w:r>
        <w:rPr>
          <w:rFonts w:hint="eastAsia"/>
          <w:b w:val="0"/>
          <w:bCs/>
          <w:sz w:val="22"/>
          <w:szCs w:val="22"/>
          <w:lang w:val="en-US" w:eastAsia="zh-CN"/>
        </w:rPr>
        <w:t>t seem necessary at this point.</w:t>
      </w:r>
    </w:p>
    <w:p>
      <w:pPr>
        <w:pStyle w:val="35"/>
        <w:rPr>
          <w:rFonts w:hint="default"/>
          <w:b w:val="0"/>
          <w:bCs/>
          <w:sz w:val="22"/>
          <w:szCs w:val="22"/>
          <w:lang w:val="en-US" w:eastAsia="zh-CN"/>
        </w:rPr>
      </w:pPr>
      <w:r>
        <w:rPr>
          <w:rFonts w:hint="eastAsia"/>
          <w:b/>
          <w:bCs w:val="0"/>
          <w:sz w:val="22"/>
          <w:szCs w:val="22"/>
          <w:lang w:val="en-US" w:eastAsia="zh-CN"/>
        </w:rPr>
        <w:t>Clarification can be captured in the WF if necessary.</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SSB does not have to be within ON duration in a reference cell subject to DL CCA in order to meet UE timing requirements. No clarification related to DRX is needed on the current definition of unavailability of a reference cell on a carrier frequency subject to CCA in section 7.1.1.</w:t>
      </w:r>
    </w:p>
    <w:p>
      <w:pPr>
        <w:rPr>
          <w:rFonts w:hint="eastAsia"/>
          <w:b/>
          <w:bCs w:val="0"/>
          <w:sz w:val="22"/>
          <w:szCs w:val="22"/>
          <w:lang w:val="en-US" w:eastAsia="zh-CN"/>
        </w:rPr>
      </w:pPr>
      <w:r>
        <w:rPr>
          <w:rFonts w:hint="eastAsia"/>
          <w:b/>
          <w:bCs w:val="0"/>
          <w:sz w:val="22"/>
          <w:szCs w:val="22"/>
          <w:lang w:val="en-US" w:eastAsia="zh-CN"/>
        </w:rPr>
        <w:t>Proposal 2: No clarification related to gap is needed on the current definition of unavailability of a reference cell on a carrier frequency subject to CCA in section 7.1.1.</w:t>
      </w:r>
    </w:p>
    <w:p>
      <w:pPr>
        <w:rPr>
          <w:rFonts w:hint="eastAsia"/>
          <w:b/>
          <w:bCs w:val="0"/>
          <w:sz w:val="22"/>
          <w:szCs w:val="22"/>
          <w:lang w:val="en-US" w:eastAsia="zh-CN"/>
        </w:rPr>
      </w:pPr>
      <w:r>
        <w:rPr>
          <w:rFonts w:hint="eastAsia"/>
          <w:b/>
          <w:bCs w:val="0"/>
          <w:sz w:val="22"/>
          <w:szCs w:val="22"/>
          <w:lang w:val="en-US" w:eastAsia="zh-CN"/>
        </w:rPr>
        <w:t>Proposal 3: Clarification can be captured in the WF if necessary</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R4-2105700</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6BB2E8D"/>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1332A"/>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474D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967B7"/>
    <w:rsid w:val="5A194DBF"/>
    <w:rsid w:val="5A3078C5"/>
    <w:rsid w:val="5ADF3A74"/>
    <w:rsid w:val="5AE53367"/>
    <w:rsid w:val="5AEE564F"/>
    <w:rsid w:val="5B0B0083"/>
    <w:rsid w:val="5B3565C2"/>
    <w:rsid w:val="5B73697E"/>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22049"/>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1028C5"/>
    <w:rsid w:val="6F3608C4"/>
    <w:rsid w:val="6F5579D7"/>
    <w:rsid w:val="6F801AF8"/>
    <w:rsid w:val="6F8D5AAE"/>
    <w:rsid w:val="6FFF59CB"/>
    <w:rsid w:val="700D564E"/>
    <w:rsid w:val="70160759"/>
    <w:rsid w:val="70200B37"/>
    <w:rsid w:val="7037013D"/>
    <w:rsid w:val="70381577"/>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2021-04-30T01:56:48Z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